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BB6A" w14:textId="323E8ADB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  <w:bookmarkStart w:id="0" w:name="_GoBack"/>
      <w:r w:rsidRPr="008A14D9">
        <w:rPr>
          <w:rFonts w:ascii="Roboto" w:hAnsi="Roboto"/>
          <w:b/>
        </w:rPr>
        <w:t>Финансовая поддержка субъектов малого и среднего предпринимательства, осуществляющих деятельность в социальной сфере</w:t>
      </w:r>
    </w:p>
    <w:bookmarkEnd w:id="0"/>
    <w:p w14:paraId="6BCC4501" w14:textId="41F789D0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Поддержка субъектам малого и среднего предпринимательства, осуществляющим деятельность в социальной сфере, оказывается при одном из следующих условий:</w:t>
      </w:r>
    </w:p>
    <w:p w14:paraId="168033D2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субъекты предпринимательства обеспечивают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детей-сирот и детей, оставшихся без попечения родителей (далее –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граждан, относящихся к указанным категориям, среди их работников составляет не менее 50 процентов, а доля в фонде оплаты труда - не менее 25 процентов;</w:t>
      </w:r>
    </w:p>
    <w:p w14:paraId="4F50CDE3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субъекты предпринимательства осуществляют деятельность по предоставлению услуг (производству товаров, выполнению работ) в следующих сферах:</w:t>
      </w:r>
    </w:p>
    <w:p w14:paraId="69F76C0F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14:paraId="53F9592F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14:paraId="1FDF42D5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14:paraId="5313A84A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342C0097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14:paraId="171F754D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14:paraId="2CE3D9A6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14:paraId="3C218481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содействие вовлечению в социально активную деятельность лиц, относящихся к социально незащищенным группам граждан, а также лиц, освобожденных из мест </w:t>
      </w: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лишения свободы в течение двух лет, и лиц, страдающих наркоманией и алкоголизмом.</w:t>
      </w:r>
    </w:p>
    <w:p w14:paraId="6CE5227A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Комитет осуществляет предоставление финансовой поддержки в виде возмещения части затрат, произведенных Субъектами не раннее 12 (двенадцати) месяцев, предшествующих дате подачи заявления Субъекта.</w:t>
      </w:r>
    </w:p>
    <w:p w14:paraId="2D688574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Субсидия предоставляется по следующим направлениям и в следующих размерах:</w:t>
      </w:r>
    </w:p>
    <w:tbl>
      <w:tblPr>
        <w:tblW w:w="12000" w:type="dxa"/>
        <w:tblCellSpacing w:w="15" w:type="dxa"/>
        <w:tblInd w:w="-17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6435"/>
        <w:gridCol w:w="4326"/>
      </w:tblGrid>
      <w:tr w:rsidR="008A14D9" w:rsidRPr="008A14D9" w14:paraId="074F229B" w14:textId="77777777" w:rsidTr="008A14D9">
        <w:trPr>
          <w:tblCellSpacing w:w="15" w:type="dxa"/>
        </w:trPr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4729B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7A3D7860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FF370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Направления поддержки</w:t>
            </w:r>
          </w:p>
        </w:tc>
        <w:tc>
          <w:tcPr>
            <w:tcW w:w="4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ACD34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Размер субсидии</w:t>
            </w:r>
          </w:p>
        </w:tc>
      </w:tr>
      <w:tr w:rsidR="008A14D9" w:rsidRPr="008A14D9" w14:paraId="3898975B" w14:textId="77777777" w:rsidTr="008A14D9">
        <w:trPr>
          <w:tblCellSpacing w:w="15" w:type="dxa"/>
        </w:trPr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F3834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BD697" w14:textId="77777777" w:rsidR="008A14D9" w:rsidRPr="008A14D9" w:rsidRDefault="008A14D9" w:rsidP="008A14D9">
            <w:pPr>
              <w:spacing w:after="45" w:line="30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Аренда нежилых помещений (возмещению подлежат фактически произведенные и документально подтвержденные затраты Субъекта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от 24 июля 2007 года № 209-ФЗ «О развитии малого и среднего предпринимательства в Российской Федерации»).</w:t>
            </w:r>
          </w:p>
        </w:tc>
        <w:tc>
          <w:tcPr>
            <w:tcW w:w="4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4456F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не более 50 процентов от общего объёма затрат и не более 200 тыс. рублей на 1 Субъекта в год</w:t>
            </w:r>
          </w:p>
        </w:tc>
      </w:tr>
      <w:tr w:rsidR="008A14D9" w:rsidRPr="008A14D9" w14:paraId="41579565" w14:textId="77777777" w:rsidTr="008A14D9">
        <w:trPr>
          <w:tblCellSpacing w:w="15" w:type="dxa"/>
        </w:trPr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34457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1A5FC" w14:textId="77777777" w:rsidR="008A14D9" w:rsidRPr="008A14D9" w:rsidRDefault="008A14D9" w:rsidP="008A14D9">
            <w:pPr>
              <w:spacing w:after="45" w:line="30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Приобретение оборудования (основных средств) и лицензионных программных продуктов (возмещению подлежат фактически произведенные и документально подтвержденные затраты Субъекта на приобретение оборудования, относящегося к основным средствам, и лицензионных программных продуктов), в том числе: оборудование, относящегося к основным средствам - инструменты, приборы, машины (за исключением тракторов), механизмы, станки, аппараты, агрегаты, установки, приспособления, аппаратура, снаряжение и др. со сроком полезного использования свыше 2 лет и стоимостью более 20,0 тыс. рублей за единицу. </w:t>
            </w:r>
            <w:r w:rsidRPr="008A14D9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968FF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не более 80 процентов</w:t>
            </w:r>
          </w:p>
          <w:p w14:paraId="655DDE2B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от стоимости оборудования (основных средств)</w:t>
            </w:r>
          </w:p>
          <w:p w14:paraId="5D210829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и лицензионных программных продуктов </w:t>
            </w:r>
          </w:p>
          <w:p w14:paraId="5743065A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и не более 300 тыс. рублей на 1 Субъекта в год </w:t>
            </w:r>
          </w:p>
        </w:tc>
      </w:tr>
      <w:tr w:rsidR="008A14D9" w:rsidRPr="008A14D9" w14:paraId="664B4F57" w14:textId="77777777" w:rsidTr="008A14D9">
        <w:trPr>
          <w:tblCellSpacing w:w="15" w:type="dxa"/>
        </w:trPr>
        <w:tc>
          <w:tcPr>
            <w:tcW w:w="1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B1058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ED2D7" w14:textId="77777777" w:rsidR="008A14D9" w:rsidRPr="008A14D9" w:rsidRDefault="008A14D9" w:rsidP="008A14D9">
            <w:pPr>
              <w:spacing w:after="45" w:line="30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Специальная оценка условий труда (возмещению подлежат фактически произведенные и документально подтвержденные затраты Субъекта на привлечение специализированных организаций, осуществляющих специальную оценку условий труда по гражданско-правовым договорам,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труда).</w:t>
            </w:r>
          </w:p>
        </w:tc>
        <w:tc>
          <w:tcPr>
            <w:tcW w:w="4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B57E7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не более 50 процентов</w:t>
            </w:r>
          </w:p>
          <w:p w14:paraId="3017EB92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от общего объёма затрат</w:t>
            </w:r>
          </w:p>
          <w:p w14:paraId="20B511CA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и не более 100 тыс. рублей </w:t>
            </w:r>
          </w:p>
          <w:p w14:paraId="5D782C60" w14:textId="77777777" w:rsidR="008A14D9" w:rsidRPr="008A14D9" w:rsidRDefault="008A14D9" w:rsidP="008A14D9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A14D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на 1 Субъекта в год </w:t>
            </w:r>
          </w:p>
        </w:tc>
      </w:tr>
    </w:tbl>
    <w:p w14:paraId="722FAF18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Субъекты могут претендовать на получение субсидии не более чем по двум направлениям в рамках данного мероприятия.</w:t>
      </w:r>
    </w:p>
    <w:p w14:paraId="2A5D1A8A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*</w:t>
      </w: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 xml:space="preserve">Определение срока полезного использования оборудования осуществляется в соответствии с постановлением Правительства Российской Федерации от </w:t>
      </w: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lastRenderedPageBreak/>
        <w:t xml:space="preserve">01.01.2002 №1 «О Классификации основных средств, включаемых в амортизационные группы» (далее – Классификатор основных средств). </w:t>
      </w:r>
    </w:p>
    <w:p w14:paraId="50CFEC7C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14:paraId="53B02E68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Возмещению не подлежат затраты Субъектов:</w:t>
      </w:r>
    </w:p>
    <w:p w14:paraId="28F1320F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- 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14:paraId="481A40F7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сельскохозяйственными товаропроизводителями);</w:t>
      </w:r>
    </w:p>
    <w:p w14:paraId="323B2391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- на доставку и монтаж оборудования.</w:t>
      </w:r>
    </w:p>
    <w:p w14:paraId="21D0315E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Субъект, в отношении которого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после получения субсидии. Обязательство Субъекта включается в текст договора о предоставлении Субсидии.</w:t>
      </w:r>
    </w:p>
    <w:p w14:paraId="4B02A5C2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В случае несоблюдения Субъектом указанного обязательства субсидия в полном объеме подлежит возврату в бюджет Сургутского района, в соответствии с действующим законодательством.</w:t>
      </w:r>
    </w:p>
    <w:p w14:paraId="3F9DEFAC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 xml:space="preserve">Субъект по истечении 1 года и 2 лет со дня получения субсидии предоставляет в Комитет отчет об исполнении принятых обязательств. </w:t>
      </w:r>
    </w:p>
    <w:p w14:paraId="29007E6A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Форма отчета является приложением к договору о предоставлении субсидии</w:t>
      </w: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14:paraId="12FE75B0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Подать заявку на предоставление финансовой поддержки можно одним из следующих способов:</w:t>
      </w:r>
    </w:p>
    <w:p w14:paraId="46F597DC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- Лично в отдел развития предпринимательства комитета экономического развития Сургутского района,</w:t>
      </w: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адресу: г. Сургут, ул. Бажова, 16, кабинет 227, 230, с 9-00 до 15-00 (перерыв с 13-00 до 14-00). тел. 8 (3462) 526-008, 526-061.</w:t>
      </w:r>
    </w:p>
    <w:p w14:paraId="56CFB23B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- В муниципальное казённое учреждение «Многофункциональный центр предоставления государственных и муниципальных услуг Сургутского района» в соответствии с регламентом оказания финансовой поддержки субъектам малого и среднего предпринимательства по принципу "одного окна"</w:t>
      </w: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 по адресу: г. Сургут, ул. Югорский тракт, 38 "Сити Мол" тел: (3462) 23-99-99.</w:t>
      </w:r>
    </w:p>
    <w:p w14:paraId="78F55D11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- В электронном виде посредством электронного сервиса «одно окно» размещенного на инвестиционном портале Сургутского района </w:t>
      </w:r>
      <w:hyperlink r:id="rId4" w:history="1">
        <w:r w:rsidRPr="008A14D9">
          <w:rPr>
            <w:rFonts w:ascii="Roboto" w:eastAsia="Times New Roman" w:hAnsi="Roboto" w:cs="Times New Roman"/>
            <w:color w:val="0064CF"/>
            <w:sz w:val="23"/>
            <w:szCs w:val="23"/>
            <w:u w:val="single"/>
            <w:lang w:eastAsia="ru-RU"/>
          </w:rPr>
          <w:t>http://www.admsr.ru/invest/windows/</w:t>
        </w:r>
      </w:hyperlink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14:paraId="78005AFF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 xml:space="preserve">Контактное лицо для справок: </w:t>
      </w:r>
    </w:p>
    <w:p w14:paraId="40AFD25C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Максименко Любовь Леонидовна, тел. (3462) 52-60-61</w:t>
      </w:r>
    </w:p>
    <w:p w14:paraId="3425F8A7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Городничева Ольга Алексеевна, тел. (3462) 52-60-61</w:t>
      </w:r>
    </w:p>
    <w:p w14:paraId="2FC0E15B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Волкова Татьяна Николаевна, тел. (3462) 52-60-08</w:t>
      </w:r>
    </w:p>
    <w:p w14:paraId="15922CDD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Басалаева Ирина Викторовна, тел. (3462) 52-60-08</w:t>
      </w:r>
    </w:p>
    <w:p w14:paraId="23CFD4BB" w14:textId="77777777" w:rsidR="008A14D9" w:rsidRPr="008A14D9" w:rsidRDefault="008A14D9" w:rsidP="008A14D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A14D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Орлова Татьяна Григорьевна, тел. (3462) 52-60-08</w:t>
      </w:r>
    </w:p>
    <w:p w14:paraId="24887728" w14:textId="77777777" w:rsidR="004F719C" w:rsidRDefault="004F719C"/>
    <w:sectPr w:rsidR="004F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9C"/>
    <w:rsid w:val="004F719C"/>
    <w:rsid w:val="008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D77B"/>
  <w15:chartTrackingRefBased/>
  <w15:docId w15:val="{1BC7128C-F081-49B1-A5E8-CD66B934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4D9"/>
    <w:rPr>
      <w:color w:val="0064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0286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invest/windo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2018-07-02T12:02:00Z</dcterms:created>
  <dcterms:modified xsi:type="dcterms:W3CDTF">2018-07-02T12:03:00Z</dcterms:modified>
</cp:coreProperties>
</file>